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AA31" w14:textId="4BF748DE" w:rsidR="001B54AD" w:rsidRPr="001B54AD" w:rsidRDefault="009A0B73" w:rsidP="001B54AD">
      <w:pPr>
        <w:pStyle w:val="Normlnweb"/>
        <w:rPr>
          <w:rFonts w:ascii="Invesco Interstate Bold" w:eastAsia="Times New Roman" w:hAnsi="Invesco Interstate Bold"/>
          <w:b/>
          <w:bCs/>
          <w:sz w:val="28"/>
          <w:szCs w:val="28"/>
          <w:lang w:eastAsia="de-DE"/>
        </w:rPr>
      </w:pPr>
      <w:r>
        <w:rPr>
          <w:rFonts w:ascii="Invesco Interstate Bold" w:eastAsia="Times New Roman" w:hAnsi="Invesco Interstate Bold"/>
          <w:b/>
          <w:bCs/>
          <w:sz w:val="28"/>
          <w:szCs w:val="28"/>
          <w:lang w:eastAsia="de-DE"/>
        </w:rPr>
        <w:t>KOMENTÁŘ INVESCO: RŮST ÚROKOVÝCH SAZEB, DLUHOVÝ STROP A DALŠÍ</w:t>
      </w:r>
    </w:p>
    <w:p w14:paraId="450ADEA9" w14:textId="1BCEB885" w:rsidR="001B54AD" w:rsidRPr="001B54AD" w:rsidRDefault="00E71888" w:rsidP="001B54AD">
      <w:pPr>
        <w:pStyle w:val="Normlnweb"/>
        <w:rPr>
          <w:rFonts w:ascii="Invesco Interstate Bold" w:eastAsia="Times New Roman" w:hAnsi="Invesco Interstate Bold"/>
          <w:b/>
          <w:bCs/>
          <w:lang w:eastAsia="de-DE"/>
        </w:rPr>
      </w:pPr>
      <w:r>
        <w:rPr>
          <w:rFonts w:ascii="Invesco Interstate Bold" w:eastAsia="Times New Roman" w:hAnsi="Invesco Interstate Bold"/>
          <w:b/>
          <w:bCs/>
          <w:lang w:eastAsia="de-DE"/>
        </w:rPr>
        <w:t>Komentář</w:t>
      </w:r>
      <w:r w:rsidR="001B54AD" w:rsidRPr="001B54AD">
        <w:rPr>
          <w:rFonts w:ascii="Invesco Interstate Bold" w:eastAsia="Times New Roman" w:hAnsi="Invesco Interstate Bold"/>
          <w:b/>
          <w:bCs/>
          <w:lang w:eastAsia="de-DE"/>
        </w:rPr>
        <w:t xml:space="preserve"> Kristiny </w:t>
      </w:r>
      <w:proofErr w:type="spellStart"/>
      <w:r w:rsidR="001B54AD" w:rsidRPr="001B54AD">
        <w:rPr>
          <w:rFonts w:ascii="Invesco Interstate Bold" w:eastAsia="Times New Roman" w:hAnsi="Invesco Interstate Bold"/>
          <w:b/>
          <w:bCs/>
          <w:lang w:eastAsia="de-DE"/>
        </w:rPr>
        <w:t>Hooper</w:t>
      </w:r>
      <w:proofErr w:type="spellEnd"/>
      <w:r w:rsidR="00647FEA" w:rsidRPr="00D218DD">
        <w:rPr>
          <w:rFonts w:ascii="Invesco Interstate Bold" w:eastAsia="Times New Roman" w:hAnsi="Invesco Interstate Bold"/>
          <w:b/>
          <w:bCs/>
          <w:lang w:eastAsia="de-DE"/>
        </w:rPr>
        <w:t xml:space="preserve">, </w:t>
      </w:r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>vedoucí stratéžk</w:t>
      </w:r>
      <w:r w:rsidR="00FA4DC6">
        <w:rPr>
          <w:rFonts w:ascii="Invesco Interstate Bold" w:eastAsia="Times New Roman" w:hAnsi="Invesco Interstate Bold"/>
          <w:b/>
          <w:bCs/>
          <w:lang w:eastAsia="de-DE"/>
        </w:rPr>
        <w:t>y</w:t>
      </w:r>
      <w:r w:rsidR="00647FEA">
        <w:rPr>
          <w:rFonts w:ascii="Invesco Interstate Bold" w:eastAsia="Times New Roman" w:hAnsi="Invesco Interstate Bold"/>
          <w:b/>
          <w:bCs/>
          <w:lang w:eastAsia="de-DE"/>
        </w:rPr>
        <w:t xml:space="preserve"> pro</w:t>
      </w:r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 xml:space="preserve"> </w:t>
      </w:r>
      <w:r w:rsidR="00647FEA">
        <w:rPr>
          <w:rFonts w:ascii="Invesco Interstate Bold" w:eastAsia="Times New Roman" w:hAnsi="Invesco Interstate Bold"/>
          <w:b/>
          <w:bCs/>
          <w:lang w:eastAsia="de-DE"/>
        </w:rPr>
        <w:t xml:space="preserve">globální </w:t>
      </w:r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>trh</w:t>
      </w:r>
      <w:r w:rsidR="00647FEA">
        <w:rPr>
          <w:rFonts w:ascii="Invesco Interstate Bold" w:eastAsia="Times New Roman" w:hAnsi="Invesco Interstate Bold"/>
          <w:b/>
          <w:bCs/>
          <w:lang w:eastAsia="de-DE"/>
        </w:rPr>
        <w:t>y,</w:t>
      </w:r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 xml:space="preserve"> </w:t>
      </w:r>
      <w:proofErr w:type="spellStart"/>
      <w:r w:rsidR="00647FEA" w:rsidRPr="00647FEA">
        <w:rPr>
          <w:rFonts w:ascii="Invesco Interstate Bold" w:eastAsia="Times New Roman" w:hAnsi="Invesco Interstate Bold"/>
          <w:b/>
          <w:bCs/>
          <w:lang w:eastAsia="de-DE"/>
        </w:rPr>
        <w:t>Invesco</w:t>
      </w:r>
      <w:proofErr w:type="spellEnd"/>
      <w:r w:rsidR="00647FEA">
        <w:rPr>
          <w:rFonts w:ascii="Invesco Interstate Bold" w:eastAsia="Times New Roman" w:hAnsi="Invesco Interstate Bold"/>
          <w:b/>
          <w:bCs/>
          <w:lang w:eastAsia="de-DE"/>
        </w:rPr>
        <w:t xml:space="preserve"> Ltd.</w:t>
      </w:r>
    </w:p>
    <w:p w14:paraId="0B28DA5E" w14:textId="1FF723B3" w:rsidR="00E71888" w:rsidRDefault="00F13AE4" w:rsidP="00447C11">
      <w:pPr>
        <w:spacing w:before="100" w:beforeAutospacing="1" w:afterAutospacing="1" w:line="240" w:lineRule="auto"/>
        <w:jc w:val="both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Minulý týden byl plný zpráv, které ovlivnily globální trhy, od zpřísňování podmínek ze strany centrálních bank až po rostoucí obavy z překročení dluhového stropu USA.</w:t>
      </w:r>
    </w:p>
    <w:p w14:paraId="33F8E399" w14:textId="175D3486" w:rsidR="00E71888" w:rsidRPr="00E71888" w:rsidRDefault="00F13AE4" w:rsidP="00360791">
      <w:pPr>
        <w:pStyle w:val="Odstavecseseznamem"/>
        <w:numPr>
          <w:ilvl w:val="0"/>
          <w:numId w:val="31"/>
        </w:num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b/>
          <w:bCs/>
          <w:lang w:eastAsia="ja-JP"/>
        </w:rPr>
      </w:pPr>
      <w:r>
        <w:rPr>
          <w:rFonts w:ascii="Invesco Interstate Light" w:eastAsia="MS Mincho" w:hAnsi="Invesco Interstate Light"/>
          <w:b/>
          <w:bCs/>
          <w:lang w:eastAsia="ja-JP"/>
        </w:rPr>
        <w:t>Austrálie</w:t>
      </w:r>
      <w:r w:rsidR="00E71888">
        <w:rPr>
          <w:rFonts w:ascii="Invesco Interstate Light" w:eastAsia="MS Mincho" w:hAnsi="Invesco Interstate Light"/>
          <w:b/>
          <w:bCs/>
          <w:lang w:eastAsia="ja-JP"/>
        </w:rPr>
        <w:t xml:space="preserve"> </w:t>
      </w:r>
      <w:r w:rsidR="00E71888" w:rsidRPr="00E71888">
        <w:t>–</w:t>
      </w:r>
      <w:r w:rsidR="00E71888">
        <w:rPr>
          <w:rFonts w:ascii="Tahoma" w:hAnsi="Tahoma" w:cs="Tahoma"/>
          <w:color w:val="4D5156"/>
          <w:sz w:val="21"/>
          <w:szCs w:val="21"/>
          <w:shd w:val="clear" w:color="auto" w:fill="FFFFFF"/>
        </w:rPr>
        <w:t>⁠</w:t>
      </w:r>
      <w:r w:rsidR="00E71888">
        <w:rPr>
          <w:rFonts w:ascii="Invesco Interstate Light" w:eastAsia="MS Mincho" w:hAnsi="Invesco Interstate Light"/>
          <w:b/>
          <w:bCs/>
          <w:lang w:eastAsia="ja-JP"/>
        </w:rPr>
        <w:t xml:space="preserve"> </w:t>
      </w:r>
      <w:r w:rsidRPr="002671CD">
        <w:rPr>
          <w:rFonts w:ascii="Invesco Interstate Light" w:eastAsia="MS Mincho" w:hAnsi="Invesco Interstate Light"/>
          <w:lang w:eastAsia="ja-JP"/>
        </w:rPr>
        <w:t xml:space="preserve">Nejprve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Reserve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Bank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of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Australia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překvapila trhy zvýšením úrokových sazeb o 25 bazických bodů a naznačila, že by mohlo dojít k dalšímu zvýšení, přičemž uvedla, že by mohlo být zapotřebí „další zpřísnění“, aby se inflace vrátila ke svému cíli v „rozumném časovém horizontu“. Očekává se, že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Reserve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Bank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of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New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Zealand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také zvýší sazby, a to ještě tento měsíc.</w:t>
      </w:r>
      <w:r>
        <w:t xml:space="preserve"> </w:t>
      </w:r>
      <w:r w:rsidR="00E71888">
        <w:t xml:space="preserve"> </w:t>
      </w:r>
    </w:p>
    <w:p w14:paraId="3DD62727" w14:textId="49910F65" w:rsidR="00E71888" w:rsidRPr="00E71888" w:rsidRDefault="00F13AE4" w:rsidP="00360791">
      <w:pPr>
        <w:pStyle w:val="Odstavecseseznamem"/>
        <w:numPr>
          <w:ilvl w:val="0"/>
          <w:numId w:val="31"/>
        </w:num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b/>
          <w:bCs/>
          <w:lang w:eastAsia="ja-JP"/>
        </w:rPr>
      </w:pPr>
      <w:r>
        <w:rPr>
          <w:rFonts w:ascii="Invesco Interstate Light" w:eastAsia="MS Mincho" w:hAnsi="Invesco Interstate Light"/>
          <w:b/>
          <w:bCs/>
          <w:lang w:eastAsia="ja-JP"/>
        </w:rPr>
        <w:t>Spojené státy</w:t>
      </w:r>
      <w:r w:rsidR="00E71888">
        <w:rPr>
          <w:rFonts w:ascii="Invesco Interstate Light" w:eastAsia="MS Mincho" w:hAnsi="Invesco Interstate Light"/>
          <w:b/>
          <w:bCs/>
          <w:lang w:eastAsia="ja-JP"/>
        </w:rPr>
        <w:t xml:space="preserve"> </w:t>
      </w:r>
      <w:r w:rsidR="00E71888" w:rsidRPr="00E71888">
        <w:t xml:space="preserve">– </w:t>
      </w:r>
      <w:r w:rsidRPr="002671CD">
        <w:rPr>
          <w:rFonts w:ascii="Invesco Interstate Light" w:eastAsia="MS Mincho" w:hAnsi="Invesco Interstate Light"/>
          <w:lang w:eastAsia="ja-JP"/>
        </w:rPr>
        <w:t xml:space="preserve">Federální výbor pro volný trh USA zvýšil sazby o 25 bazických bodů. Ačkoli se toto zvýšení očekávalo, předseda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Fedu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Jay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Powell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byl během tiskové konference poněkud zmatený. Na jedné straně uvedl: „Rozhodnutí o pauze dnes nebylo učiněno.“ Na druhé straně však řekl toto o konci cyklu zpřísňování: „Blížíme se k němu, nebo jsme možná dokonce u něj.“ Řekl také: „Podle mého názoru se jedná o de facto podmíněnou pauzu, což znamená, že je vysoká pravděpodobnost, že Fed opět zasáhne a zvýší sazby.“</w:t>
      </w:r>
    </w:p>
    <w:p w14:paraId="1A7F5BF7" w14:textId="11F5EA03" w:rsidR="00E71888" w:rsidRPr="00E71888" w:rsidRDefault="00877298" w:rsidP="00360791">
      <w:pPr>
        <w:pStyle w:val="Odstavecseseznamem"/>
        <w:numPr>
          <w:ilvl w:val="0"/>
          <w:numId w:val="31"/>
        </w:num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b/>
          <w:bCs/>
          <w:lang w:eastAsia="ja-JP"/>
        </w:rPr>
      </w:pPr>
      <w:r>
        <w:rPr>
          <w:rFonts w:ascii="Invesco Interstate Light" w:eastAsia="MS Mincho" w:hAnsi="Invesco Interstate Light"/>
          <w:b/>
          <w:bCs/>
          <w:lang w:eastAsia="ja-JP"/>
        </w:rPr>
        <w:t>Evropa</w:t>
      </w:r>
      <w:r w:rsidR="00E71888">
        <w:rPr>
          <w:rFonts w:ascii="Invesco Interstate Light" w:eastAsia="MS Mincho" w:hAnsi="Invesco Interstate Light"/>
          <w:b/>
          <w:bCs/>
          <w:lang w:eastAsia="ja-JP"/>
        </w:rPr>
        <w:t xml:space="preserve"> </w:t>
      </w:r>
      <w:r w:rsidR="00E71888" w:rsidRPr="00E71888">
        <w:t>–</w:t>
      </w:r>
      <w:r w:rsidR="00E71888">
        <w:t xml:space="preserve"> </w:t>
      </w:r>
      <w:r w:rsidRPr="002671CD">
        <w:rPr>
          <w:rFonts w:ascii="Invesco Interstate Light" w:eastAsia="MS Mincho" w:hAnsi="Invesco Interstate Light"/>
          <w:lang w:eastAsia="ja-JP"/>
        </w:rPr>
        <w:t xml:space="preserve">Evropská centrální banka (ECB) rovněž zvýšila sazby o 25 bazických bodů. Prezidentka ECB Christine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Lagardeová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 xml:space="preserve"> však dala jasně najevo, že eurozóna je na tom jinak než USA: „Máme před sebou další cestu a nepolevíme – to je naprosto jasné.“</w:t>
      </w:r>
    </w:p>
    <w:p w14:paraId="4CE0A445" w14:textId="46131F9F" w:rsidR="001B54AD" w:rsidRPr="001B54AD" w:rsidRDefault="006520B3" w:rsidP="006520B3">
      <w:pPr>
        <w:pStyle w:val="Nadpis2"/>
        <w:jc w:val="both"/>
        <w:rPr>
          <w:rFonts w:ascii="Invesco Interstate Light" w:eastAsia="MS Mincho" w:hAnsi="Invesco Interstate Light" w:cs="Times New Roman"/>
          <w:sz w:val="22"/>
          <w:szCs w:val="22"/>
          <w:lang w:eastAsia="ja-JP"/>
        </w:rPr>
      </w:pPr>
      <w:r>
        <w:rPr>
          <w:rFonts w:ascii="Invesco Interstate Light" w:eastAsia="MS Mincho" w:hAnsi="Invesco Interstate Light" w:cs="Times New Roman"/>
          <w:sz w:val="22"/>
          <w:szCs w:val="22"/>
          <w:lang w:eastAsia="ja-JP"/>
        </w:rPr>
        <w:t>Silné služby/slabá výroba</w:t>
      </w:r>
    </w:p>
    <w:p w14:paraId="04928449" w14:textId="31523924" w:rsidR="00447C11" w:rsidRPr="00447C11" w:rsidRDefault="002671CD" w:rsidP="00447C11">
      <w:pPr>
        <w:spacing w:before="100" w:beforeAutospacing="1"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Na mnoha místech </w:t>
      </w:r>
      <w:r w:rsidRPr="002671CD">
        <w:rPr>
          <w:rFonts w:ascii="Invesco Interstate Light" w:eastAsia="MS Mincho" w:hAnsi="Invesco Interstate Light"/>
          <w:sz w:val="22"/>
          <w:szCs w:val="22"/>
          <w:lang w:eastAsia="ja-JP"/>
        </w:rPr>
        <w:t>světa jsme v posledních měsících zaznamenali podobný vzorec, který pokračoval i v uplynulém měsíci: V dubnu se projevila silná aktivita ve službách, zatímco ve zpracovatelském průmyslu to bylo spíše vlažné.</w:t>
      </w:r>
    </w:p>
    <w:p w14:paraId="0DFB5552" w14:textId="74A716DC" w:rsidR="00486631" w:rsidRDefault="002671CD" w:rsidP="00360791">
      <w:pPr>
        <w:pStyle w:val="Odstavecseseznamem"/>
        <w:numPr>
          <w:ilvl w:val="0"/>
          <w:numId w:val="30"/>
        </w:numPr>
        <w:spacing w:before="100" w:beforeAutospacing="1" w:line="276" w:lineRule="auto"/>
        <w:jc w:val="both"/>
        <w:rPr>
          <w:rFonts w:ascii="Invesco Interstate Light" w:eastAsia="MS Mincho" w:hAnsi="Invesco Interstate Light"/>
          <w:lang w:eastAsia="ja-JP"/>
        </w:rPr>
      </w:pPr>
      <w:r>
        <w:rPr>
          <w:rFonts w:ascii="Invesco Interstate Light" w:eastAsia="MS Mincho" w:hAnsi="Invesco Interstate Light"/>
          <w:lang w:eastAsia="ja-JP"/>
        </w:rPr>
        <w:t xml:space="preserve">Spojené státy. US Institute </w:t>
      </w:r>
      <w:proofErr w:type="spellStart"/>
      <w:r>
        <w:rPr>
          <w:rFonts w:ascii="Invesco Interstate Light" w:eastAsia="MS Mincho" w:hAnsi="Invesco Interstate Light"/>
          <w:lang w:eastAsia="ja-JP"/>
        </w:rPr>
        <w:t>for</w:t>
      </w:r>
      <w:proofErr w:type="spellEnd"/>
      <w:r>
        <w:rPr>
          <w:rFonts w:ascii="Invesco Interstate Light" w:eastAsia="MS Mincho" w:hAnsi="Invesco Interstate Light"/>
          <w:lang w:eastAsia="ja-JP"/>
        </w:rPr>
        <w:t xml:space="preserve"> Supply Management (ISM) </w:t>
      </w:r>
      <w:proofErr w:type="spellStart"/>
      <w:r>
        <w:rPr>
          <w:rFonts w:ascii="Invesco Interstate Light" w:eastAsia="MS Mincho" w:hAnsi="Invesco Interstate Light"/>
          <w:lang w:eastAsia="ja-JP"/>
        </w:rPr>
        <w:t>Services</w:t>
      </w:r>
      <w:proofErr w:type="spellEnd"/>
      <w:r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>
        <w:rPr>
          <w:rFonts w:ascii="Invesco Interstate Light" w:eastAsia="MS Mincho" w:hAnsi="Invesco Interstate Light"/>
          <w:lang w:eastAsia="ja-JP"/>
        </w:rPr>
        <w:t>Purchasing</w:t>
      </w:r>
      <w:proofErr w:type="spellEnd"/>
      <w:r>
        <w:rPr>
          <w:rFonts w:ascii="Invesco Interstate Light" w:eastAsia="MS Mincho" w:hAnsi="Invesco Interstate Light"/>
          <w:lang w:eastAsia="ja-JP"/>
        </w:rPr>
        <w:t xml:space="preserve"> </w:t>
      </w:r>
      <w:proofErr w:type="spellStart"/>
      <w:r w:rsidRPr="002671CD">
        <w:rPr>
          <w:rFonts w:ascii="Invesco Interstate Light" w:eastAsia="MS Mincho" w:hAnsi="Invesco Interstate Light"/>
          <w:lang w:eastAsia="ja-JP"/>
        </w:rPr>
        <w:t>Managers</w:t>
      </w:r>
      <w:proofErr w:type="spellEnd"/>
      <w:r w:rsidRPr="002671CD">
        <w:rPr>
          <w:rFonts w:ascii="Invesco Interstate Light" w:eastAsia="MS Mincho" w:hAnsi="Invesco Interstate Light"/>
          <w:lang w:eastAsia="ja-JP"/>
        </w:rPr>
        <w:t>’ Index (PMI) za duben dosáhl hodnoty 51,9, což stále znamená expanzi. Index PMI ISM ve výrobě v USA však za duben měl hodnotu 47,1, tedy je hluboko v kontrakci – i když oproti březnu došlo ke zlepšení. Stojí za zmínku, že dílčí index</w:t>
      </w:r>
      <w:r>
        <w:rPr>
          <w:rFonts w:ascii="Invesco Interstate Light" w:eastAsia="MS Mincho" w:hAnsi="Invesco Interstate Light"/>
          <w:lang w:eastAsia="ja-JP"/>
        </w:rPr>
        <w:t xml:space="preserve"> </w:t>
      </w:r>
      <w:r w:rsidRPr="002671CD">
        <w:rPr>
          <w:rFonts w:ascii="Invesco Interstate Light" w:eastAsia="MS Mincho" w:hAnsi="Invesco Interstate Light"/>
          <w:lang w:eastAsia="ja-JP"/>
        </w:rPr>
        <w:t>nových zakázek ve zpracovatelském průmyslu se také zlepšuje, i když nadále zůstává slabý.</w:t>
      </w:r>
    </w:p>
    <w:p w14:paraId="70DFDB4D" w14:textId="088D6E63" w:rsidR="00486631" w:rsidRDefault="002671CD" w:rsidP="00360791">
      <w:pPr>
        <w:numPr>
          <w:ilvl w:val="0"/>
          <w:numId w:val="33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Evropa. </w:t>
      </w:r>
      <w:r w:rsidRPr="002671CD">
        <w:rPr>
          <w:rFonts w:ascii="Invesco Interstate Light" w:eastAsia="MS Mincho" w:hAnsi="Invesco Interstate Light"/>
          <w:sz w:val="22"/>
          <w:szCs w:val="22"/>
          <w:lang w:eastAsia="ja-JP"/>
        </w:rPr>
        <w:t>Dubnové indexy PMI v eurozóně rovněž ukázaly pokračující rozdíl mezi výrobou a službami; PMI ve výrobě je v kontrakci na úrovni 45,8, zatímco PMI ve službách je v expanzi na úrovni 56,2 oproti březnovým 55,0.</w:t>
      </w:r>
    </w:p>
    <w:p w14:paraId="482A84CC" w14:textId="242C291B" w:rsidR="002671CD" w:rsidRPr="00360791" w:rsidRDefault="002671CD" w:rsidP="00360791">
      <w:pPr>
        <w:numPr>
          <w:ilvl w:val="0"/>
          <w:numId w:val="33"/>
        </w:numPr>
        <w:spacing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2671C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Čína. Oficiální čínské PMI za duben ukázaly překvapivě nízkou hodnotu výrobního sektoru 49,2 oproti 51,9 v předchozím měsíci, zatímco nevýrobní PMI činil 56,4 oproti 58,2 v březnu. Podobně i čínský </w:t>
      </w:r>
      <w:proofErr w:type="spellStart"/>
      <w:r w:rsidRPr="002671CD">
        <w:rPr>
          <w:rFonts w:ascii="Invesco Interstate Light" w:eastAsia="MS Mincho" w:hAnsi="Invesco Interstate Light"/>
          <w:sz w:val="22"/>
          <w:szCs w:val="22"/>
          <w:lang w:eastAsia="ja-JP"/>
        </w:rPr>
        <w:t>Caixin</w:t>
      </w:r>
      <w:proofErr w:type="spellEnd"/>
      <w:r w:rsidRPr="002671CD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PMI ve výrobě dosáhl hodnoty 49,5, ve službách 56,4. O síle sektoru služeb čínské ekonomiky svědčí výsledky Zlatého týdne. Během tohoto pětidenního svátku došlo k výraznému posílení příjmů z domácího cestovního ruchu; dosáhly 101 % úrovně před pandemií. Existuje skepse ohledně toho, zda jsou silné výdaje čínských spotřebitelů po službách udržitelné, ale po několikaletých lockdownech se domnívám, že odložená poptávka ještě nebyla ukojena.</w:t>
      </w:r>
    </w:p>
    <w:p w14:paraId="61E0A363" w14:textId="63FDBD05" w:rsidR="001B54AD" w:rsidRPr="002671CD" w:rsidRDefault="002671CD" w:rsidP="002671CD">
      <w:pPr>
        <w:spacing w:before="100" w:beforeAutospacing="1" w:afterAutospacing="1"/>
        <w:jc w:val="both"/>
        <w:outlineLvl w:val="1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lastRenderedPageBreak/>
        <w:t>Inflace zůstává zvýšená, ale objevují se náznaky zlepšení</w:t>
      </w:r>
    </w:p>
    <w:p w14:paraId="00D546AE" w14:textId="3A7C5C94" w:rsidR="00F24110" w:rsidRPr="00F24110" w:rsidRDefault="002671CD" w:rsidP="00F24110">
      <w:pPr>
        <w:pStyle w:val="Odstavecseseznamem"/>
        <w:numPr>
          <w:ilvl w:val="0"/>
          <w:numId w:val="30"/>
        </w:numPr>
        <w:spacing w:before="100" w:beforeAutospacing="1"/>
        <w:jc w:val="both"/>
        <w:rPr>
          <w:rFonts w:ascii="Invesco Interstate Light" w:eastAsia="MS Mincho" w:hAnsi="Invesco Interstate Light"/>
          <w:lang w:eastAsia="ja-JP"/>
        </w:rPr>
      </w:pPr>
      <w:r>
        <w:rPr>
          <w:rFonts w:ascii="Invesco Interstate Light" w:eastAsia="MS Mincho" w:hAnsi="Invesco Interstate Light"/>
          <w:lang w:eastAsia="ja-JP"/>
        </w:rPr>
        <w:t>Zpráva o zaměstnanosti v USA za duben naznačila, že růst mezd se zvýšil. Průměrný hodinový výdělek stoupl meziročně o 4,4 %, což představuje nárůst oproti březnovému revidovanému tempu 4,3 %. Průměrný hodinový výdělek v Kanadě zůstal meziročně na vysoké úrovni 5,2 %, i když se jedná o zlepšení oproti březnovému údaji 5,3 %. Kromě toho bleskový odhad inflace v eurozóně za duben dosáhl meziročně 7,0 %, což i zde je nárůst z březnových 6,9 %. Dobrou zprávou je, že jádrová inflace dosáhla 7,3 % meziročně, což představuje pokles ze 7,5 %. Jedná se stále o velmi zvýšené hodnoty, a i když se jednotlivá data nemusí pohybovat správným směrem, celkový trend je klesající.</w:t>
      </w:r>
    </w:p>
    <w:p w14:paraId="5FA519F1" w14:textId="2722E5C4" w:rsidR="00F24110" w:rsidRPr="00F24110" w:rsidRDefault="002671CD" w:rsidP="00F24110">
      <w:pPr>
        <w:spacing w:before="100" w:beforeAutospacing="1"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Určitou dobrou zprávu přinesl průzkum spotřebitelů newyorského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Fedu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, který ukázal, že inflační očekávání na jeden rok dopředu se v dubnu zmírnila. Bohužel, inflační očekávání na tři roky dopředu a na pět let dopředu se zvýšila, ale stejně jako samotná inflace budou inflační očekávání kolísavá a nedokonalá, protože sledují obecný klesající trend.</w:t>
      </w:r>
    </w:p>
    <w:p w14:paraId="4BE64B84" w14:textId="7AE25DF1" w:rsidR="002F282B" w:rsidRPr="00F24110" w:rsidRDefault="00F24110" w:rsidP="002671CD">
      <w:pPr>
        <w:spacing w:before="100" w:beforeAutospacing="1" w:afterAutospacing="1"/>
        <w:jc w:val="both"/>
        <w:outlineLvl w:val="1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r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Úvěrové podmínky se zpřísnily </w:t>
      </w:r>
    </w:p>
    <w:p w14:paraId="3F5412B5" w14:textId="77777777" w:rsidR="00F24110" w:rsidRDefault="00F24110" w:rsidP="00F24110">
      <w:p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Po vypuknutí bankovní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minikrize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na začátku tohoto roku se úvěrové podmínky zpřísnily a očekává se, že se budou i dále zpřísňovat. Z dubnového průzkumu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Fedu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mezi vedoucími pracovníky z oblasti úvěrů vyplynulo, že "banky očekávají, že do konce roku 2023 zpřísní standardy ve všech kategoriích úvěrů, přičemž jako důvod uvádějí očekávané zhoršení kvality úvěrů a hodnoty zajištění, snížení tolerance k riziku a obavy z nákladů na financování bank, likviditní pozice a odlivu vkladů.“</w:t>
      </w:r>
    </w:p>
    <w:p w14:paraId="71954AA5" w14:textId="5577C38F" w:rsidR="00F24110" w:rsidRPr="00F24110" w:rsidRDefault="00F24110" w:rsidP="00F24110">
      <w:p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Vzniká tak obtížnější prostředí pro poskytování úvěrů. I když pozitivem je, že zpřísnění úvěrových podmínek zvyšuje šanci, že Fed nebude muset přistoupit k "podmíněné pauze". Úvěrové podmínky budeme samozřejmě i nadále pozorně sledovat.</w:t>
      </w:r>
    </w:p>
    <w:p w14:paraId="0D5E2227" w14:textId="686CCB43" w:rsidR="002F282B" w:rsidRPr="00F24110" w:rsidRDefault="00F24110" w:rsidP="00F24110">
      <w:pPr>
        <w:spacing w:before="100" w:beforeAutospacing="1" w:afterAutospacing="1"/>
        <w:jc w:val="both"/>
        <w:outlineLvl w:val="1"/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</w:pPr>
      <w:proofErr w:type="spellStart"/>
      <w:r w:rsidRPr="00F2411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>Yellenová</w:t>
      </w:r>
      <w:proofErr w:type="spellEnd"/>
      <w:r w:rsidRPr="00F24110">
        <w:rPr>
          <w:rFonts w:ascii="Invesco Interstate Light" w:eastAsia="MS Mincho" w:hAnsi="Invesco Interstate Light"/>
          <w:b/>
          <w:bCs/>
          <w:sz w:val="22"/>
          <w:szCs w:val="22"/>
          <w:lang w:eastAsia="ja-JP"/>
        </w:rPr>
        <w:t xml:space="preserve"> varuje před dluhovým stropem USA</w:t>
      </w:r>
    </w:p>
    <w:p w14:paraId="0A14E0CF" w14:textId="77777777" w:rsidR="00F24110" w:rsidRPr="00F24110" w:rsidRDefault="00F24110" w:rsidP="00F24110">
      <w:pPr>
        <w:spacing w:before="100" w:beforeAutospacing="1" w:afterAutospacing="1" w:line="240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Již nějakou dobu jsem varovala před možností, že otázka dluhového stropu může zamíchat ekonomikou a trhy. V posledních dnech se trhy znepokojily ještě více. Můj kolega Brian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Levitt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upozornil, že sazba jednoměsíční pokladniční poukázky USA v poslední době prudce vzrostla, protože investoři jsou méně ochotni investovat do nástrojů se splatností v době, kdy může být debata nejintenzivnější. To by nemělo překvapit, protože minulé pondělí americká ministryně financí Janet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Yellenová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varovala, že pokud Kongres nezvýší nebo neodloží dluhový limit, Spojeným státům by do 1. června mohly dojít peníze na zaplacení účtů. Tento výpočet má mnoho pohyblivých částí, takže budeme pozorně sledovat podrobnosti.</w:t>
      </w:r>
    </w:p>
    <w:p w14:paraId="6F1039C2" w14:textId="77777777" w:rsidR="00F24110" w:rsidRPr="00F24110" w:rsidRDefault="00F24110" w:rsidP="00F24110">
      <w:p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Datum X, tedy datum, kdy USA dojdou peníze, pokud nebude dluhový strop zrušen, by mohlo být později než 1. června; více jasno o tom budeme mít, až daňový úřad vyhodnotí dosavadní daňové příjmy a vypracuje prognózy těch budoucích. Mohlo by také dojít ke krátkodobému prodloužení, což by mohlo posunout datum X na konec léta nebo podzim 2023.</w:t>
      </w:r>
    </w:p>
    <w:p w14:paraId="1778B7E6" w14:textId="77777777" w:rsidR="00E45FAB" w:rsidRDefault="00F24110" w:rsidP="00F24110">
      <w:p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V krátkodobém horizontu by to mohlo způsobit snížení úvěrového ratingu, jaké jsme zažili v roce 2011 </w:t>
      </w:r>
      <w:proofErr w:type="gram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-  zde</w:t>
      </w:r>
      <w:proofErr w:type="gram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to otřáslo trhy, způsobilo pokles cen rizikových aktiv a zvýšilo poptávku po "bezpečných" třídách aktiv, jako </w:t>
      </w: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lastRenderedPageBreak/>
        <w:t xml:space="preserve">jsou státní dluhopisy a zlato. A protože federální vláda by v případě dosažení data X bez zvýšení dluhového stropu s největší pravděpodobností upřednostnila obsluhu amerického dluhu, znamenalo by to buď zpoždění, nebo dočasné zastavení výplaty položek, jako jsou sociální dávky a platy vojáků – což by mohlo způsobit značné škody americké ekonomice. Doufám v nejlepší, ale počítám i s horšími možnostmi; moji kolegové, odborníci na veřejnou politiku Andy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Blocker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a Jennifer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Flittonová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, se domnívají, že by to mohl být dosud nejspornější boj o dluhový strop. Můžeme přinejmenším očekávat zvýšenou volatilitu trhů ovlivněných nejistotou, pokud nebude dluhový strop skutečně zrušen.</w:t>
      </w:r>
    </w:p>
    <w:p w14:paraId="1650232B" w14:textId="139A59E1" w:rsidR="00E45FAB" w:rsidRPr="00F24110" w:rsidRDefault="00E45FAB" w:rsidP="00F24110">
      <w:p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75C8F7D" w14:textId="60F5BF01" w:rsidR="00F24110" w:rsidRPr="005927A0" w:rsidRDefault="00F24110" w:rsidP="00F24110">
      <w:pPr>
        <w:spacing w:line="276" w:lineRule="auto"/>
        <w:rPr>
          <w:rFonts w:ascii="Arial" w:hAnsi="Arial" w:cs="Arial"/>
          <w:color w:val="000000"/>
          <w:sz w:val="24"/>
          <w:szCs w:val="24"/>
          <w:lang w:eastAsia="cs-CZ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Obavy o akcie amerických bank ještě zcela nepolevily, ale nadále se týkají převážně regionálních bank. Ceny jejich akcií jsou již několik týdnů pod značným</w:t>
      </w:r>
      <w:r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tlakem</w:t>
      </w:r>
      <w:r w:rsidRPr="005927A0">
        <w:rPr>
          <w:rFonts w:ascii="Arial" w:hAnsi="Arial" w:cs="Arial"/>
          <w:color w:val="000000"/>
          <w:sz w:val="24"/>
          <w:szCs w:val="24"/>
          <w:lang w:eastAsia="cs-CZ"/>
        </w:rPr>
        <w:t>.</w:t>
      </w:r>
    </w:p>
    <w:p w14:paraId="01FCC2CE" w14:textId="77777777" w:rsidR="00F24110" w:rsidRDefault="00F24110" w:rsidP="00F24110">
      <w:pPr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6FCE9083" w14:textId="738CF76B" w:rsidR="00F24110" w:rsidRPr="00F24110" w:rsidRDefault="00F24110" w:rsidP="00F24110">
      <w:pPr>
        <w:spacing w:line="276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Obavy z recese v poslední době také vzrostly, neboť panuje strach, že agresivní zpřísnění opatření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Fedu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by mohlo způsobit recesi v USA. Tříměsíční / osmnáctiměsíční výnosová křivka amerických státních dluhopisů se invertovala na úroveň, která nebyla zaznamenána od roku 1981.</w:t>
      </w:r>
    </w:p>
    <w:p w14:paraId="3E365278" w14:textId="77777777" w:rsidR="00F24110" w:rsidRDefault="00F24110" w:rsidP="00F24110">
      <w:pPr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2502FBB2" w14:textId="23D5053A" w:rsidR="00F24110" w:rsidRPr="00F24110" w:rsidRDefault="00F24110" w:rsidP="00F24110">
      <w:pPr>
        <w:spacing w:line="276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Inverzní výnosová křivka 2letá / 10letá se od vrcholu bankovní </w:t>
      </w:r>
      <w:proofErr w:type="spellStart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minikrize</w:t>
      </w:r>
      <w:proofErr w:type="spellEnd"/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 xml:space="preserve"> v březnu zúžila, i když stále zůstává poměrně široká. Toto zúžení bylo do značné míry způsobeno poklesem výnosu 2letých amerických státních dluhopisů od začátku března. </w:t>
      </w:r>
    </w:p>
    <w:p w14:paraId="1B5C01CD" w14:textId="3EA8E133" w:rsidR="00462A8A" w:rsidRDefault="00F24110" w:rsidP="00F24110">
      <w:p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Pandemie je oficiálně u konce. Minulý týden Světová zdravotnická organizace prohlásila,</w:t>
      </w:r>
      <w:r w:rsidRPr="005927A0">
        <w:rPr>
          <w:rFonts w:ascii="Arial" w:hAnsi="Arial" w:cs="Arial"/>
          <w:color w:val="000000"/>
          <w:sz w:val="24"/>
          <w:szCs w:val="24"/>
          <w:lang w:eastAsia="cs-CZ"/>
        </w:rPr>
        <w:t xml:space="preserve"> </w:t>
      </w: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že COVID-19 již není globální pandemií. Zatímco svět dlouhou dobu fungoval, jako by pandemie skončila, toto oznámení je oficiálním koncem jedné éry.</w:t>
      </w:r>
    </w:p>
    <w:p w14:paraId="14990F85" w14:textId="384E440A" w:rsidR="00462A8A" w:rsidRDefault="00F24110" w:rsidP="00462A8A">
      <w:pPr>
        <w:spacing w:before="100" w:beforeAutospacing="1" w:afterAutospacing="1" w:line="276" w:lineRule="auto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F24110">
        <w:rPr>
          <w:rFonts w:ascii="Invesco Interstate Light" w:eastAsia="MS Mincho" w:hAnsi="Invesco Interstate Light"/>
          <w:sz w:val="22"/>
          <w:szCs w:val="22"/>
          <w:lang w:eastAsia="ja-JP"/>
        </w:rPr>
        <w:t>Problém, který jsme v určitém okamžiku vnímali jako největší riziko pro ekonomiku a trhy, již není.</w:t>
      </w:r>
    </w:p>
    <w:p w14:paraId="58ACAE9A" w14:textId="77777777" w:rsidR="00BB716B" w:rsidRPr="00BB716B" w:rsidRDefault="00BB716B" w:rsidP="00BB716B">
      <w:pPr>
        <w:spacing w:line="276" w:lineRule="auto"/>
        <w:rPr>
          <w:rFonts w:ascii="Invesco Interstate Light" w:eastAsia="MS Mincho" w:hAnsi="Invesco Interstate Light"/>
          <w:sz w:val="22"/>
          <w:szCs w:val="22"/>
          <w:lang w:eastAsia="ja-JP"/>
        </w:rPr>
      </w:pPr>
      <w:r w:rsidRPr="00BB716B">
        <w:rPr>
          <w:rFonts w:ascii="Invesco Interstate Light" w:eastAsia="MS Mincho" w:hAnsi="Invesco Interstate Light"/>
          <w:sz w:val="22"/>
          <w:szCs w:val="22"/>
          <w:lang w:eastAsia="ja-JP"/>
        </w:rPr>
        <w:t>Pokud jde o budoucnost, očekávám, že se pozornost zaměří na údaje o inflaci v USA – zejména na index spotřebitelských cen, který bude zveřejněný koncem tohoto týdne.</w:t>
      </w:r>
    </w:p>
    <w:p w14:paraId="3BA98CC1" w14:textId="77777777" w:rsidR="00BB6629" w:rsidRDefault="00BB6629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249F8FF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FBF12F0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20B84B6C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770CD797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1BC513A6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507409A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0EB6AAF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34694775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4C6DCC8F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594F00D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594CAD96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3425150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0E4F28E2" w14:textId="77777777" w:rsidR="00BB716B" w:rsidRDefault="00BB716B" w:rsidP="001B54AD">
      <w:pPr>
        <w:spacing w:line="240" w:lineRule="exact"/>
        <w:jc w:val="both"/>
        <w:rPr>
          <w:rFonts w:ascii="Invesco Interstate Light" w:eastAsia="MS Mincho" w:hAnsi="Invesco Interstate Light"/>
          <w:sz w:val="22"/>
          <w:szCs w:val="22"/>
          <w:lang w:eastAsia="ja-JP"/>
        </w:rPr>
      </w:pPr>
    </w:p>
    <w:p w14:paraId="6A92654E" w14:textId="77777777" w:rsidR="00BB716B" w:rsidRDefault="00BB716B" w:rsidP="001B54AD">
      <w:pPr>
        <w:spacing w:line="240" w:lineRule="exact"/>
        <w:jc w:val="both"/>
        <w:rPr>
          <w:rFonts w:ascii="Invesco Interstate Light" w:hAnsi="Invesco Interstate Light"/>
          <w:sz w:val="22"/>
          <w:szCs w:val="22"/>
        </w:rPr>
      </w:pPr>
    </w:p>
    <w:p w14:paraId="53C54D89" w14:textId="77777777" w:rsidR="00462A8A" w:rsidRDefault="00462A8A" w:rsidP="001B54AD">
      <w:pPr>
        <w:spacing w:line="240" w:lineRule="exact"/>
        <w:jc w:val="both"/>
        <w:rPr>
          <w:rFonts w:ascii="Invesco Interstate Light" w:hAnsi="Invesco Interstate Light"/>
          <w:sz w:val="22"/>
          <w:szCs w:val="22"/>
        </w:rPr>
      </w:pPr>
    </w:p>
    <w:p w14:paraId="586C1178" w14:textId="77777777" w:rsidR="00BE67F0" w:rsidRPr="004E3E12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lastRenderedPageBreak/>
        <w:t>Varování před riziky</w:t>
      </w:r>
    </w:p>
    <w:p w14:paraId="44E6FB3D" w14:textId="77777777" w:rsidR="00BE67F0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C413A69" w14:textId="77777777" w:rsidR="00BE67F0" w:rsidRPr="004E3E12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1D6AB386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2175EC61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43FA10C4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</w:t>
      </w:r>
      <w:r>
        <w:rPr>
          <w:rFonts w:ascii="Invesco Interstate Light" w:hAnsi="Invesco Interstate Light"/>
          <w:b/>
          <w:bCs/>
          <w:sz w:val="22"/>
          <w:szCs w:val="22"/>
        </w:rPr>
        <w:t> </w:t>
      </w:r>
      <w:r w:rsidRPr="00873CBF">
        <w:rPr>
          <w:rFonts w:ascii="Invesco Interstate Light" w:hAnsi="Invesco Interstate Light"/>
          <w:b/>
          <w:bCs/>
          <w:sz w:val="22"/>
          <w:szCs w:val="22"/>
        </w:rPr>
        <w:t>informace</w:t>
      </w:r>
      <w:r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6B620CA3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2B8BB676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9E3A06A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1C8DCA4B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696532D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5001941A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679B9078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602426E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2FBB52F3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4069F7B7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3C50ED3D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07AA1B20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3DF4590" w14:textId="77777777" w:rsidR="00BE67F0" w:rsidRDefault="00BE67F0" w:rsidP="00BE67F0">
      <w:pPr>
        <w:autoSpaceDE w:val="0"/>
        <w:autoSpaceDN w:val="0"/>
        <w:adjustRightInd w:val="0"/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An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der</w:t>
      </w:r>
      <w:r>
        <w:rPr>
          <w:rFonts w:ascii="Invesco Interstate Light" w:hAnsi="Invesco Interstate Light"/>
          <w:sz w:val="22"/>
          <w:szCs w:val="22"/>
        </w:rPr>
        <w:t> 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5,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D-60322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Frankfurt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nad</w:t>
      </w:r>
      <w:r>
        <w:rPr>
          <w:rFonts w:ascii="Invesco Interstate Light" w:hAnsi="Invesco Interstate Light"/>
          <w:sz w:val="22"/>
          <w:szCs w:val="22"/>
        </w:rPr>
        <w:t> </w:t>
      </w:r>
      <w:r w:rsidRPr="00654055">
        <w:rPr>
          <w:rFonts w:ascii="Invesco Interstate Light" w:hAnsi="Invesco Interstate Light"/>
          <w:sz w:val="22"/>
          <w:szCs w:val="22"/>
        </w:rPr>
        <w:t>Mohanem.</w:t>
      </w:r>
      <w:r w:rsidRPr="00654055">
        <w:rPr>
          <w:rFonts w:ascii="Invesco Interstate Light" w:hAnsi="Invesco Interstate Light"/>
          <w:sz w:val="22"/>
          <w:szCs w:val="22"/>
        </w:rPr>
        <w:br/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477C5BDC" w14:textId="77777777" w:rsidR="00BE67F0" w:rsidRPr="00654055" w:rsidRDefault="00BE67F0" w:rsidP="00BE67F0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08DCE9C2" w14:textId="77777777" w:rsidR="00BE67F0" w:rsidRPr="00873CBF" w:rsidRDefault="00BE67F0" w:rsidP="00BE67F0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1E005AFF" w14:textId="77777777" w:rsidR="00BE67F0" w:rsidRPr="00873CBF" w:rsidRDefault="00BE67F0" w:rsidP="00BE67F0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0EAF9FDD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2948FBF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185B372E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7E609A4E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5B0C94D3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0CB6517A" w14:textId="77777777" w:rsidR="00BE67F0" w:rsidRPr="00873CBF" w:rsidRDefault="00BE67F0" w:rsidP="00BE67F0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49605B3C" w14:textId="77777777" w:rsidR="00BE67F0" w:rsidRPr="00907B79" w:rsidRDefault="00BE67F0" w:rsidP="00022FAF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BE67F0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8901" w14:textId="77777777" w:rsidR="00250C89" w:rsidRDefault="00250C89">
      <w:r>
        <w:separator/>
      </w:r>
    </w:p>
  </w:endnote>
  <w:endnote w:type="continuationSeparator" w:id="0">
    <w:p w14:paraId="733D73F8" w14:textId="77777777" w:rsidR="00250C89" w:rsidRDefault="00250C89">
      <w:r>
        <w:continuationSeparator/>
      </w:r>
    </w:p>
  </w:endnote>
  <w:endnote w:type="continuationNotice" w:id="1">
    <w:p w14:paraId="1415A966" w14:textId="77777777" w:rsidR="00250C89" w:rsidRDefault="00250C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5535" w14:textId="77777777" w:rsidR="00250C89" w:rsidRDefault="00250C89">
      <w:r>
        <w:separator/>
      </w:r>
    </w:p>
  </w:footnote>
  <w:footnote w:type="continuationSeparator" w:id="0">
    <w:p w14:paraId="5C981D2B" w14:textId="77777777" w:rsidR="00250C89" w:rsidRDefault="00250C89">
      <w:r>
        <w:continuationSeparator/>
      </w:r>
    </w:p>
  </w:footnote>
  <w:footnote w:type="continuationNotice" w:id="1">
    <w:p w14:paraId="727F2003" w14:textId="77777777" w:rsidR="00250C89" w:rsidRDefault="00250C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8EFBB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45B6BF2B" wp14:editId="0ED0B043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2821A177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2D3C257A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7768B97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9D60AA2" w14:textId="21FF8DAE" w:rsidR="00702C33" w:rsidRPr="000730A6" w:rsidRDefault="00F13AE4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>10</w:t>
    </w:r>
    <w:r w:rsidR="001B54AD">
      <w:rPr>
        <w:color w:val="000000"/>
        <w:sz w:val="23"/>
        <w:szCs w:val="23"/>
      </w:rPr>
      <w:t xml:space="preserve">. </w:t>
    </w:r>
    <w:r w:rsidR="00D218DD">
      <w:rPr>
        <w:color w:val="000000"/>
        <w:sz w:val="23"/>
        <w:szCs w:val="23"/>
      </w:rPr>
      <w:t>0</w:t>
    </w:r>
    <w:r>
      <w:rPr>
        <w:color w:val="000000"/>
        <w:sz w:val="23"/>
        <w:szCs w:val="23"/>
      </w:rPr>
      <w:t>5</w:t>
    </w:r>
    <w:r w:rsidR="001B54AD">
      <w:rPr>
        <w:color w:val="000000"/>
        <w:sz w:val="23"/>
        <w:szCs w:val="23"/>
      </w:rPr>
      <w:t>. 202</w:t>
    </w:r>
    <w:r w:rsidR="002F1572">
      <w:rPr>
        <w:color w:val="000000"/>
        <w:sz w:val="23"/>
        <w:szCs w:val="23"/>
      </w:rPr>
      <w:t>3</w:t>
    </w:r>
  </w:p>
  <w:p w14:paraId="4362962F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8285ECB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D309B"/>
    <w:multiLevelType w:val="hybridMultilevel"/>
    <w:tmpl w:val="E00A9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F1666"/>
    <w:multiLevelType w:val="multilevel"/>
    <w:tmpl w:val="11820CCE"/>
    <w:numStyleLink w:val="FormatvorlageAufgezhlt"/>
  </w:abstractNum>
  <w:abstractNum w:abstractNumId="3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65BDA"/>
    <w:multiLevelType w:val="multilevel"/>
    <w:tmpl w:val="16BEE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63B3EE8"/>
    <w:multiLevelType w:val="hybridMultilevel"/>
    <w:tmpl w:val="A15A6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A6E1C4C"/>
    <w:multiLevelType w:val="hybridMultilevel"/>
    <w:tmpl w:val="880A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532E"/>
    <w:multiLevelType w:val="hybridMultilevel"/>
    <w:tmpl w:val="94503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995"/>
    <w:multiLevelType w:val="hybridMultilevel"/>
    <w:tmpl w:val="A15A6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1E76"/>
    <w:multiLevelType w:val="hybridMultilevel"/>
    <w:tmpl w:val="A15A6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4829"/>
    <w:multiLevelType w:val="hybridMultilevel"/>
    <w:tmpl w:val="A204E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6D70"/>
    <w:multiLevelType w:val="multilevel"/>
    <w:tmpl w:val="11820CCE"/>
    <w:numStyleLink w:val="FormatvorlageAufgezhlt"/>
  </w:abstractNum>
  <w:abstractNum w:abstractNumId="16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F2125"/>
    <w:multiLevelType w:val="hybridMultilevel"/>
    <w:tmpl w:val="A15A6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32F3E"/>
    <w:multiLevelType w:val="hybridMultilevel"/>
    <w:tmpl w:val="A15A6EF6"/>
    <w:lvl w:ilvl="0" w:tplc="65B67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30B23"/>
    <w:multiLevelType w:val="multilevel"/>
    <w:tmpl w:val="11820CCE"/>
    <w:numStyleLink w:val="FormatvorlageAufgezhlt"/>
  </w:abstractNum>
  <w:abstractNum w:abstractNumId="22" w15:restartNumberingAfterBreak="0">
    <w:nsid w:val="4F623915"/>
    <w:multiLevelType w:val="hybridMultilevel"/>
    <w:tmpl w:val="A15A6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712FF"/>
    <w:multiLevelType w:val="hybridMultilevel"/>
    <w:tmpl w:val="D3781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B5022"/>
    <w:multiLevelType w:val="hybridMultilevel"/>
    <w:tmpl w:val="DCD46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403C3"/>
    <w:multiLevelType w:val="multilevel"/>
    <w:tmpl w:val="11820CCE"/>
    <w:numStyleLink w:val="FormatvorlageAufgezhlt"/>
  </w:abstractNum>
  <w:abstractNum w:abstractNumId="30" w15:restartNumberingAfterBreak="0">
    <w:nsid w:val="6C6C4721"/>
    <w:multiLevelType w:val="multilevel"/>
    <w:tmpl w:val="11820CCE"/>
    <w:numStyleLink w:val="FormatvorlageAufgezhlt"/>
  </w:abstractNum>
  <w:abstractNum w:abstractNumId="31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E5380B"/>
    <w:multiLevelType w:val="multilevel"/>
    <w:tmpl w:val="11820CCE"/>
    <w:numStyleLink w:val="FormatvorlageAufgezhlt"/>
  </w:abstractNum>
  <w:abstractNum w:abstractNumId="33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2204">
    <w:abstractNumId w:val="0"/>
  </w:num>
  <w:num w:numId="2" w16cid:durableId="1140617048">
    <w:abstractNumId w:val="16"/>
  </w:num>
  <w:num w:numId="3" w16cid:durableId="743449272">
    <w:abstractNumId w:val="27"/>
  </w:num>
  <w:num w:numId="4" w16cid:durableId="1482650028">
    <w:abstractNumId w:val="17"/>
  </w:num>
  <w:num w:numId="5" w16cid:durableId="1143234631">
    <w:abstractNumId w:val="21"/>
  </w:num>
  <w:num w:numId="6" w16cid:durableId="700011805">
    <w:abstractNumId w:val="29"/>
  </w:num>
  <w:num w:numId="7" w16cid:durableId="1937514415">
    <w:abstractNumId w:val="30"/>
  </w:num>
  <w:num w:numId="8" w16cid:durableId="139002878">
    <w:abstractNumId w:val="2"/>
  </w:num>
  <w:num w:numId="9" w16cid:durableId="2090539373">
    <w:abstractNumId w:val="32"/>
  </w:num>
  <w:num w:numId="10" w16cid:durableId="1930038299">
    <w:abstractNumId w:val="15"/>
  </w:num>
  <w:num w:numId="11" w16cid:durableId="673340646">
    <w:abstractNumId w:val="6"/>
  </w:num>
  <w:num w:numId="12" w16cid:durableId="14008328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4268607">
    <w:abstractNumId w:val="36"/>
  </w:num>
  <w:num w:numId="14" w16cid:durableId="2022392648">
    <w:abstractNumId w:val="37"/>
  </w:num>
  <w:num w:numId="15" w16cid:durableId="1519849674">
    <w:abstractNumId w:val="26"/>
  </w:num>
  <w:num w:numId="16" w16cid:durableId="203373030">
    <w:abstractNumId w:val="8"/>
  </w:num>
  <w:num w:numId="17" w16cid:durableId="1638994918">
    <w:abstractNumId w:val="3"/>
  </w:num>
  <w:num w:numId="18" w16cid:durableId="1485703307">
    <w:abstractNumId w:val="28"/>
  </w:num>
  <w:num w:numId="19" w16cid:durableId="1272739652">
    <w:abstractNumId w:val="31"/>
  </w:num>
  <w:num w:numId="20" w16cid:durableId="1461148382">
    <w:abstractNumId w:val="34"/>
  </w:num>
  <w:num w:numId="21" w16cid:durableId="1611467497">
    <w:abstractNumId w:val="33"/>
  </w:num>
  <w:num w:numId="22" w16cid:durableId="1455978194">
    <w:abstractNumId w:val="14"/>
  </w:num>
  <w:num w:numId="23" w16cid:durableId="1379084372">
    <w:abstractNumId w:val="24"/>
  </w:num>
  <w:num w:numId="24" w16cid:durableId="573199580">
    <w:abstractNumId w:val="19"/>
  </w:num>
  <w:num w:numId="25" w16cid:durableId="403993204">
    <w:abstractNumId w:val="35"/>
  </w:num>
  <w:num w:numId="26" w16cid:durableId="574096096">
    <w:abstractNumId w:val="13"/>
  </w:num>
  <w:num w:numId="27" w16cid:durableId="231043340">
    <w:abstractNumId w:val="10"/>
  </w:num>
  <w:num w:numId="28" w16cid:durableId="1709407271">
    <w:abstractNumId w:val="25"/>
  </w:num>
  <w:num w:numId="29" w16cid:durableId="980844350">
    <w:abstractNumId w:val="7"/>
  </w:num>
  <w:num w:numId="30" w16cid:durableId="1096755305">
    <w:abstractNumId w:val="1"/>
  </w:num>
  <w:num w:numId="31" w16cid:durableId="1087773943">
    <w:abstractNumId w:val="23"/>
  </w:num>
  <w:num w:numId="32" w16cid:durableId="789592702">
    <w:abstractNumId w:val="20"/>
  </w:num>
  <w:num w:numId="33" w16cid:durableId="1292519176">
    <w:abstractNumId w:val="4"/>
  </w:num>
  <w:num w:numId="34" w16cid:durableId="213933894">
    <w:abstractNumId w:val="11"/>
  </w:num>
  <w:num w:numId="35" w16cid:durableId="428038614">
    <w:abstractNumId w:val="5"/>
  </w:num>
  <w:num w:numId="36" w16cid:durableId="1390422079">
    <w:abstractNumId w:val="12"/>
  </w:num>
  <w:num w:numId="37" w16cid:durableId="364066203">
    <w:abstractNumId w:val="22"/>
  </w:num>
  <w:num w:numId="38" w16cid:durableId="9105086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766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2FAF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4CCA"/>
    <w:rsid w:val="000451DD"/>
    <w:rsid w:val="0004614B"/>
    <w:rsid w:val="0004650F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2DAA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5D"/>
    <w:rsid w:val="000F0588"/>
    <w:rsid w:val="000F1147"/>
    <w:rsid w:val="000F1664"/>
    <w:rsid w:val="000F27EA"/>
    <w:rsid w:val="000F2BA0"/>
    <w:rsid w:val="000F3D0A"/>
    <w:rsid w:val="000F3DB3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34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0959"/>
    <w:rsid w:val="00171D4F"/>
    <w:rsid w:val="0017261D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1E6E"/>
    <w:rsid w:val="001B34CD"/>
    <w:rsid w:val="001B3942"/>
    <w:rsid w:val="001B4376"/>
    <w:rsid w:val="001B46D4"/>
    <w:rsid w:val="001B5022"/>
    <w:rsid w:val="001B54AD"/>
    <w:rsid w:val="001B59DE"/>
    <w:rsid w:val="001B5D0F"/>
    <w:rsid w:val="001B61C1"/>
    <w:rsid w:val="001B632C"/>
    <w:rsid w:val="001B7091"/>
    <w:rsid w:val="001B72E7"/>
    <w:rsid w:val="001C000D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7E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1F7844"/>
    <w:rsid w:val="00200AD9"/>
    <w:rsid w:val="00200B9A"/>
    <w:rsid w:val="0020129D"/>
    <w:rsid w:val="00202440"/>
    <w:rsid w:val="002027D8"/>
    <w:rsid w:val="002036EF"/>
    <w:rsid w:val="00203F8A"/>
    <w:rsid w:val="00204162"/>
    <w:rsid w:val="00204325"/>
    <w:rsid w:val="0020512B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0C89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A61"/>
    <w:rsid w:val="00264E9C"/>
    <w:rsid w:val="00265D0A"/>
    <w:rsid w:val="002669FC"/>
    <w:rsid w:val="00266B31"/>
    <w:rsid w:val="00266DF5"/>
    <w:rsid w:val="002671CD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232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083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6EE8"/>
    <w:rsid w:val="002E75F8"/>
    <w:rsid w:val="002E781C"/>
    <w:rsid w:val="002E7945"/>
    <w:rsid w:val="002E7DB3"/>
    <w:rsid w:val="002F03FA"/>
    <w:rsid w:val="002F04F2"/>
    <w:rsid w:val="002F0601"/>
    <w:rsid w:val="002F0762"/>
    <w:rsid w:val="002F100F"/>
    <w:rsid w:val="002F114A"/>
    <w:rsid w:val="002F1572"/>
    <w:rsid w:val="002F282B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3C54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1C95"/>
    <w:rsid w:val="003126C0"/>
    <w:rsid w:val="0031307A"/>
    <w:rsid w:val="003142F2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40FD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3EC3"/>
    <w:rsid w:val="003341C7"/>
    <w:rsid w:val="00334F24"/>
    <w:rsid w:val="00335528"/>
    <w:rsid w:val="00335F8E"/>
    <w:rsid w:val="003368D4"/>
    <w:rsid w:val="00337F58"/>
    <w:rsid w:val="003403E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791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A40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11A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3E67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9DB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11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A8A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375D"/>
    <w:rsid w:val="00484433"/>
    <w:rsid w:val="00486631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027B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234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23C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779"/>
    <w:rsid w:val="00645A0B"/>
    <w:rsid w:val="0064735F"/>
    <w:rsid w:val="00647DC0"/>
    <w:rsid w:val="00647FEA"/>
    <w:rsid w:val="00651AAE"/>
    <w:rsid w:val="00651C42"/>
    <w:rsid w:val="00651FAA"/>
    <w:rsid w:val="00652073"/>
    <w:rsid w:val="006520B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11E7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0F"/>
    <w:rsid w:val="006A27C8"/>
    <w:rsid w:val="006A34DD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2FC7"/>
    <w:rsid w:val="006D31C6"/>
    <w:rsid w:val="006D3285"/>
    <w:rsid w:val="006D465B"/>
    <w:rsid w:val="006D5710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075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383D"/>
    <w:rsid w:val="007B4153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5B58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4B54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5EE"/>
    <w:rsid w:val="00822DB1"/>
    <w:rsid w:val="008233D4"/>
    <w:rsid w:val="008238FF"/>
    <w:rsid w:val="0082399F"/>
    <w:rsid w:val="008239C2"/>
    <w:rsid w:val="008248EB"/>
    <w:rsid w:val="00824C20"/>
    <w:rsid w:val="008251A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1D7D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573"/>
    <w:rsid w:val="00872E7E"/>
    <w:rsid w:val="00873CBF"/>
    <w:rsid w:val="008760EA"/>
    <w:rsid w:val="00876DB9"/>
    <w:rsid w:val="00877298"/>
    <w:rsid w:val="00877C93"/>
    <w:rsid w:val="00877E85"/>
    <w:rsid w:val="008800BC"/>
    <w:rsid w:val="0088144F"/>
    <w:rsid w:val="00882FB8"/>
    <w:rsid w:val="00883F0B"/>
    <w:rsid w:val="0088445C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738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550B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5A8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5C87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0B7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19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19B"/>
    <w:rsid w:val="00A615FE"/>
    <w:rsid w:val="00A61BC9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43D4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BC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2AC3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4AD2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33DA"/>
    <w:rsid w:val="00B74005"/>
    <w:rsid w:val="00B7605D"/>
    <w:rsid w:val="00B764BD"/>
    <w:rsid w:val="00B76597"/>
    <w:rsid w:val="00B76DE4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403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629"/>
    <w:rsid w:val="00BB6A77"/>
    <w:rsid w:val="00BB716B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67F0"/>
    <w:rsid w:val="00BE7629"/>
    <w:rsid w:val="00BE7C14"/>
    <w:rsid w:val="00BE7D2C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4F4C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77864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08D4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74E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3AA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8DD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1DE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4A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66E3"/>
    <w:rsid w:val="00D973E1"/>
    <w:rsid w:val="00DA0DA9"/>
    <w:rsid w:val="00DA0DE3"/>
    <w:rsid w:val="00DA27A2"/>
    <w:rsid w:val="00DA352E"/>
    <w:rsid w:val="00DA3657"/>
    <w:rsid w:val="00DA5348"/>
    <w:rsid w:val="00DA6769"/>
    <w:rsid w:val="00DA6831"/>
    <w:rsid w:val="00DA740D"/>
    <w:rsid w:val="00DB10FE"/>
    <w:rsid w:val="00DB23E1"/>
    <w:rsid w:val="00DB28B2"/>
    <w:rsid w:val="00DB3194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DA7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5FAB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AC9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1888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A78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137A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0BAB"/>
    <w:rsid w:val="00EC3B49"/>
    <w:rsid w:val="00EC409B"/>
    <w:rsid w:val="00EC4611"/>
    <w:rsid w:val="00EC4AB6"/>
    <w:rsid w:val="00EC5EA8"/>
    <w:rsid w:val="00EC627B"/>
    <w:rsid w:val="00EC7596"/>
    <w:rsid w:val="00EC7C07"/>
    <w:rsid w:val="00ED0A91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235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3F06"/>
    <w:rsid w:val="00F06780"/>
    <w:rsid w:val="00F07ACE"/>
    <w:rsid w:val="00F103EE"/>
    <w:rsid w:val="00F10FDF"/>
    <w:rsid w:val="00F11CB5"/>
    <w:rsid w:val="00F125B3"/>
    <w:rsid w:val="00F131E1"/>
    <w:rsid w:val="00F1326C"/>
    <w:rsid w:val="00F13AE4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4110"/>
    <w:rsid w:val="00F256B9"/>
    <w:rsid w:val="00F25A16"/>
    <w:rsid w:val="00F26C35"/>
    <w:rsid w:val="00F26C8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4FA3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4DC6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B7C01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E92E6"/>
  <w15:docId w15:val="{0E723234-CFBE-4073-8C44-7097A69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uiPriority w:val="99"/>
    <w:semiHidden/>
    <w:rsid w:val="00E33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3DB3"/>
    <w:rPr>
      <w:rFonts w:ascii="Interstate-Light" w:hAnsi="Interstate-Light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C00A37-7E30-406F-AB9C-2E4394B334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8199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2023-05-10T12:10:00Z</dcterms:created>
  <dcterms:modified xsi:type="dcterms:W3CDTF">2023-05-10T12:10:00Z</dcterms:modified>
</cp:coreProperties>
</file>